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40"/>
        <w:jc w:val="center"/>
      </w:pPr>
      <w:r>
        <w:rPr>
          <w:b/>
          <w:color w:val="6C5CE7"/>
          <w:sz w:val="20"/>
        </w:rPr>
        <w:t>MARKETING HUB</w:t>
      </w:r>
    </w:p>
    <w:p>
      <w:pPr>
        <w:jc w:val="center"/>
      </w:pPr>
      <w:r>
        <w:rPr>
          <w:b/>
          <w:color w:val="17213A"/>
          <w:sz w:val="56"/>
        </w:rPr>
        <w:t>Using QR Codes for</w:t>
        <w:br/>
        <w:t>Sales, Marketing &amp; Promotions</w:t>
      </w:r>
    </w:p>
    <w:p>
      <w:pPr>
        <w:spacing w:after="440"/>
        <w:jc w:val="center"/>
      </w:pPr>
      <w:r>
        <w:rPr>
          <w:color w:val="6C5CE7"/>
          <w:sz w:val="28"/>
        </w:rPr>
        <w:t>Choose the right business section, organize codes, and measure results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EF0FF"/>
            <w:tcBorders>
              <w:top w:val="single" w:sz="8" w:color="6C5CE7"/>
              <w:left w:val="single" w:sz="8" w:color="6C5CE7"/>
              <w:bottom w:val="single" w:sz="8" w:color="6C5CE7"/>
              <w:right w:val="single" w:sz="8" w:color="6C5CE7"/>
            </w:tcBorders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b/>
                <w:color w:val="6C5CE7"/>
              </w:rPr>
              <w:t xml:space="preserve">PURPOSE  </w:t>
            </w:r>
            <w:r>
              <w:t>Use the Marketing Hub when a QR code supports sales activity, ongoing marketing, or a time-bound promotion. The hub keeps these codes separate from inventory labels and the general QR Library while providing section-specific counts, scans, search, and campaign access.</w:t>
            </w:r>
          </w:p>
        </w:tc>
      </w:tr>
    </w:tbl>
    <w:p>
      <w:pPr>
        <w:spacing w:after="0"/>
      </w:pPr>
    </w:p>
    <w:p>
      <w:pPr>
        <w:spacing w:before="600"/>
        <w:jc w:val="center"/>
      </w:pPr>
      <w:r>
        <w:rPr>
          <w:color w:val="5E6A7D"/>
          <w:sz w:val="20"/>
        </w:rPr>
        <w:t>Audience  Sales, marketing, promotion, and campaign teams</w:t>
        <w:br/>
        <w:t>Version  1.0  |  Owner  ScanOps Operations  |  Review cycle  Annual</w:t>
      </w:r>
    </w:p>
    <w:p>
      <w:r>
        <w:br w:type="page"/>
      </w:r>
    </w:p>
    <w:p>
      <w:pPr>
        <w:pStyle w:val="Heading1"/>
      </w:pPr>
      <w:r>
        <w:t>1. Decide which Marketing Hub section to use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8F6F1"/>
            <w:tcBorders>
              <w:top w:val="single" w:sz="8" w:color="147D64"/>
              <w:left w:val="single" w:sz="8" w:color="147D64"/>
              <w:bottom w:val="single" w:sz="8" w:color="147D64"/>
              <w:right w:val="single" w:sz="8" w:color="147D64"/>
            </w:tcBorders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b/>
                <w:color w:val="147D64"/>
              </w:rPr>
              <w:t xml:space="preserve">KEY RULE  </w:t>
            </w:r>
            <w:r>
              <w:t>Assign each business QR to Sales, Marketing, or Promotion according to its primary purpose.</w:t>
            </w: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656"/>
        <w:gridCol w:w="2448"/>
        <w:gridCol w:w="2520"/>
        <w:gridCol w:w="2736"/>
      </w:tblGrid>
      <w:tr>
        <w:tc>
          <w:tcPr>
            <w:tcW w:type="dxa" w:w="2340"/>
            <w:shd w:fill="17213A"/>
            <w:tcBorders>
              <w:top w:val="single" w:sz="8" w:color="17213A"/>
              <w:left w:val="single" w:sz="8" w:color="17213A"/>
              <w:bottom w:val="single" w:sz="8" w:color="17213A"/>
              <w:right w:val="single" w:sz="8" w:color="17213A"/>
            </w:tcBorders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b/>
                <w:color w:val="FFFFFF"/>
              </w:rPr>
              <w:t>Section</w:t>
            </w:r>
          </w:p>
        </w:tc>
        <w:tc>
          <w:tcPr>
            <w:tcW w:type="dxa" w:w="2340"/>
            <w:shd w:fill="17213A"/>
            <w:tcBorders>
              <w:top w:val="single" w:sz="8" w:color="17213A"/>
              <w:left w:val="single" w:sz="8" w:color="17213A"/>
              <w:bottom w:val="single" w:sz="8" w:color="17213A"/>
              <w:right w:val="single" w:sz="8" w:color="17213A"/>
            </w:tcBorders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b/>
                <w:color w:val="FFFFFF"/>
              </w:rPr>
              <w:t>Use when</w:t>
            </w:r>
          </w:p>
        </w:tc>
        <w:tc>
          <w:tcPr>
            <w:tcW w:type="dxa" w:w="2340"/>
            <w:shd w:fill="17213A"/>
            <w:tcBorders>
              <w:top w:val="single" w:sz="8" w:color="17213A"/>
              <w:left w:val="single" w:sz="8" w:color="17213A"/>
              <w:bottom w:val="single" w:sz="8" w:color="17213A"/>
              <w:right w:val="single" w:sz="8" w:color="17213A"/>
            </w:tcBorders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b/>
                <w:color w:val="FFFFFF"/>
              </w:rPr>
              <w:t>Examples</w:t>
            </w:r>
          </w:p>
        </w:tc>
        <w:tc>
          <w:tcPr>
            <w:tcW w:type="dxa" w:w="2340"/>
            <w:shd w:fill="17213A"/>
            <w:tcBorders>
              <w:top w:val="single" w:sz="8" w:color="17213A"/>
              <w:left w:val="single" w:sz="8" w:color="17213A"/>
              <w:bottom w:val="single" w:sz="8" w:color="17213A"/>
              <w:right w:val="single" w:sz="8" w:color="17213A"/>
            </w:tcBorders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b/>
                <w:color w:val="FFFFFF"/>
              </w:rPr>
              <w:t>Typical next step</w:t>
            </w:r>
          </w:p>
        </w:tc>
      </w:tr>
      <w:tr>
        <w:trPr>
          <w:cantSplit/>
        </w:trPr>
        <w:tc>
          <w:tcPr>
            <w:tcW w:type="dxa" w:w="1656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Sales</w:t>
            </w:r>
          </w:p>
        </w:tc>
        <w:tc>
          <w:tcPr>
            <w:tcW w:type="dxa" w:w="2448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The QR directly supports a sales conversation or follow-up.</w:t>
            </w:r>
          </w:p>
        </w:tc>
        <w:tc>
          <w:tcPr>
            <w:tcW w:type="dxa" w:w="2520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Quotes, demos, proposals, contact cards, booking links.</w:t>
            </w:r>
          </w:p>
        </w:tc>
        <w:tc>
          <w:tcPr>
            <w:tcW w:type="dxa" w:w="2736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Create in Sales and associate it with the relevant opportunity or campaign.</w:t>
            </w:r>
          </w:p>
        </w:tc>
      </w:tr>
      <w:tr>
        <w:trPr>
          <w:cantSplit/>
        </w:trPr>
        <w:tc>
          <w:tcPr>
            <w:tcW w:type="dxa" w:w="1656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Marketing</w:t>
            </w:r>
          </w:p>
        </w:tc>
        <w:tc>
          <w:tcPr>
            <w:tcW w:type="dxa" w:w="2448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The QR supports ongoing brand, content, or demand-generation activity.</w:t>
            </w:r>
          </w:p>
        </w:tc>
        <w:tc>
          <w:tcPr>
            <w:tcW w:type="dxa" w:w="2520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Web pages, content, events, reviews, lead forms, brand links.</w:t>
            </w:r>
          </w:p>
        </w:tc>
        <w:tc>
          <w:tcPr>
            <w:tcW w:type="dxa" w:w="2736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Create in Marketing and track results by campaign.</w:t>
            </w:r>
          </w:p>
        </w:tc>
      </w:tr>
      <w:tr>
        <w:trPr>
          <w:cantSplit/>
        </w:trPr>
        <w:tc>
          <w:tcPr>
            <w:tcW w:type="dxa" w:w="1656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Promotion</w:t>
            </w:r>
          </w:p>
        </w:tc>
        <w:tc>
          <w:tcPr>
            <w:tcW w:type="dxa" w:w="2448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The QR supports a special offer or limited-time push.</w:t>
            </w:r>
          </w:p>
        </w:tc>
        <w:tc>
          <w:tcPr>
            <w:tcW w:type="dxa" w:w="2520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Coupons, offer codes, seasonal deals, contests, limited-time promos.</w:t>
            </w:r>
          </w:p>
        </w:tc>
        <w:tc>
          <w:tcPr>
            <w:tcW w:type="dxa" w:w="2736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Create in Promotion; record start/end dates and retire when finished.</w:t>
            </w:r>
          </w:p>
        </w:tc>
      </w:tr>
    </w:tbl>
    <w:p>
      <w:pPr>
        <w:pStyle w:val="Heading2"/>
      </w:pPr>
      <w:r>
        <w:t>Before creating or assigning a code</w:t>
      </w:r>
    </w:p>
    <w:p>
      <w:pPr>
        <w:pStyle w:val="ListBullet"/>
      </w:pPr>
      <w:r>
        <w:t>Confirm the business owner and primary goal.</w:t>
      </w:r>
    </w:p>
    <w:p>
      <w:pPr>
        <w:pStyle w:val="ListBullet"/>
      </w:pPr>
      <w:r>
        <w:t>Choose Sales, Marketing, or Promotion based on the main use—not merely the team requesting it.</w:t>
      </w:r>
    </w:p>
    <w:p>
      <w:pPr>
        <w:pStyle w:val="ListBullet"/>
      </w:pPr>
      <w:r>
        <w:t>Prepare the final destination, naming convention, campaign, brand assets, languages, and success measure.</w:t>
      </w:r>
    </w:p>
    <w:p>
      <w:pPr>
        <w:pStyle w:val="ListBullet"/>
      </w:pPr>
      <w:r>
        <w:t>For promotions, confirm offer terms, launch date, expiration date, and post-expiration destination.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FF4D6"/>
            <w:tcBorders>
              <w:top w:val="single" w:sz="8" w:color="A66A00"/>
              <w:left w:val="single" w:sz="8" w:color="A66A00"/>
              <w:bottom w:val="single" w:sz="8" w:color="A66A00"/>
              <w:right w:val="single" w:sz="8" w:color="A66A00"/>
            </w:tcBorders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b/>
                <w:color w:val="A66A00"/>
              </w:rPr>
              <w:t xml:space="preserve">DO NOT USE  </w:t>
            </w:r>
            <w:r>
              <w:t>Do not place inventory or asset labels in the Marketing Hub. Those belong in Inventory.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rPr>
          <w:color w:val="6C5CE7"/>
        </w:rPr>
        <w:t xml:space="preserve">01  </w:t>
      </w:r>
      <w:r>
        <w:t>Open the correct Marketing Hub section</w:t>
      </w:r>
    </w:p>
    <w:p>
      <w:pPr>
        <w:pStyle w:val="ListBullet"/>
      </w:pPr>
      <w:r>
        <w:t>From the left navigation, expand Marketing Hub.</w:t>
      </w:r>
    </w:p>
    <w:p>
      <w:pPr>
        <w:pStyle w:val="ListBullet"/>
      </w:pPr>
      <w:r>
        <w:t>Select Sales, Marketing, or Promotion.</w:t>
      </w:r>
    </w:p>
    <w:p>
      <w:pPr>
        <w:pStyle w:val="ListBullet"/>
      </w:pPr>
      <w:r>
        <w:t>Confirm the page title and highlighted section match your intended use.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8F6F1"/>
            <w:tcBorders>
              <w:top w:val="single" w:sz="8" w:color="147D64"/>
              <w:left w:val="single" w:sz="8" w:color="147D64"/>
              <w:bottom w:val="single" w:sz="8" w:color="147D64"/>
              <w:right w:val="single" w:sz="8" w:color="147D64"/>
            </w:tcBorders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b/>
                <w:color w:val="147D64"/>
              </w:rPr>
              <w:t xml:space="preserve">EXPECTED RESULT  </w:t>
            </w:r>
            <w:r>
              <w:t>The appropriate business section is open and its counts, scan totals, uncategorized count, search, and code list are visible.</w:t>
            </w:r>
          </w:p>
        </w:tc>
      </w:tr>
    </w:tbl>
    <w:p>
      <w:pPr>
        <w:spacing w:after="0"/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23560" cy="257162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f2994e5-3f1a-42b5-b550-7f4463553d1c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25716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Figure 1. Sales is used for quotes, demos, and sales follow-ups.</w:t>
      </w:r>
    </w:p>
    <w:p>
      <w:r>
        <w:br w:type="page"/>
      </w:r>
    </w:p>
    <w:p>
      <w:pPr>
        <w:pStyle w:val="Heading1"/>
      </w:pPr>
      <w:r>
        <w:t>Section examples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23560" cy="265835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291ca74-5507-4711-8cd7-c2cb7e9e4b03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26583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Figure 2. Marketing is used for campaigns, content, and brand links.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23560" cy="272460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7637fc7-1f11-41c7-8836-1849eb37b38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27246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Figure 3. Promotion is used for offers, coupons, and limited-time promotions.</w:t>
      </w:r>
    </w:p>
    <w:p>
      <w:r>
        <w:br w:type="page"/>
      </w:r>
    </w:p>
    <w:p>
      <w:pPr>
        <w:pStyle w:val="Heading1"/>
      </w:pPr>
      <w:r>
        <w:rPr>
          <w:color w:val="6C5CE7"/>
        </w:rPr>
        <w:t xml:space="preserve">02  </w:t>
      </w:r>
      <w:r>
        <w:t>Create a QR directly in the selected section</w:t>
      </w:r>
    </w:p>
    <w:p>
      <w:pPr>
        <w:pStyle w:val="ListBullet"/>
      </w:pPr>
      <w:r>
        <w:t>Select Create in Sales, Create in Marketing, or Create in Promotion.</w:t>
      </w:r>
    </w:p>
    <w:p>
      <w:pPr>
        <w:pStyle w:val="ListBullet"/>
      </w:pPr>
      <w:r>
        <w:t>Complete the QR creation workflow: experience, destination, name, redirect settings, Advanced Language Options, design, branding, and test.</w:t>
      </w:r>
    </w:p>
    <w:p>
      <w:pPr>
        <w:pStyle w:val="ListBullet"/>
      </w:pPr>
      <w:r>
        <w:t>Confirm the Marketing Hub section remains set to the intended section before creation.</w:t>
      </w:r>
    </w:p>
    <w:p>
      <w:pPr>
        <w:pStyle w:val="ListBullet"/>
      </w:pPr>
      <w:r>
        <w:t>Create the QR only after the real-device scan test passes.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8F6F1"/>
            <w:tcBorders>
              <w:top w:val="single" w:sz="8" w:color="147D64"/>
              <w:left w:val="single" w:sz="8" w:color="147D64"/>
              <w:bottom w:val="single" w:sz="8" w:color="147D64"/>
              <w:right w:val="single" w:sz="8" w:color="147D64"/>
            </w:tcBorders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b/>
                <w:color w:val="147D64"/>
              </w:rPr>
              <w:t xml:space="preserve">EXPECTED RESULT  </w:t>
            </w:r>
            <w:r>
              <w:t>The new QR is created and categorized in the selected Marketing Hub section.</w:t>
            </w:r>
          </w:p>
        </w:tc>
      </w:tr>
    </w:tbl>
    <w:p>
      <w:pPr>
        <w:spacing w:after="0"/>
      </w:pPr>
    </w:p>
    <w:p>
      <w:pPr>
        <w:pStyle w:val="Heading1"/>
      </w:pPr>
      <w:r>
        <w:rPr>
          <w:color w:val="6C5CE7"/>
        </w:rPr>
        <w:t xml:space="preserve">03  </w:t>
      </w:r>
      <w:r>
        <w:t>Assign an uncategorized QR</w:t>
      </w:r>
    </w:p>
    <w:p>
      <w:pPr>
        <w:pStyle w:val="ListBullet"/>
      </w:pPr>
      <w:r>
        <w:t>Review the Uncategorized count.</w:t>
      </w:r>
    </w:p>
    <w:p>
      <w:pPr>
        <w:pStyle w:val="ListBullet"/>
      </w:pPr>
      <w:r>
        <w:t>Use the search field to find the existing QR by name, type, folder, or destination.</w:t>
      </w:r>
    </w:p>
    <w:p>
      <w:pPr>
        <w:pStyle w:val="ListBullet"/>
      </w:pPr>
      <w:r>
        <w:t>In the code list, use the Move control to assign the QR to Sales, Marketing, or Promotion.</w:t>
      </w:r>
    </w:p>
    <w:p>
      <w:pPr>
        <w:pStyle w:val="ListBullet"/>
      </w:pPr>
      <w:r>
        <w:t>Reopen the destination section and confirm the section count increased and the uncategorized count decreased.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8F6F1"/>
            <w:tcBorders>
              <w:top w:val="single" w:sz="8" w:color="147D64"/>
              <w:left w:val="single" w:sz="8" w:color="147D64"/>
              <w:bottom w:val="single" w:sz="8" w:color="147D64"/>
              <w:right w:val="single" w:sz="8" w:color="147D64"/>
            </w:tcBorders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b/>
                <w:color w:val="147D64"/>
              </w:rPr>
              <w:t xml:space="preserve">EXPECTED RESULT  </w:t>
            </w:r>
            <w:r>
              <w:t>The existing QR appears in the correct business section and is no longer uncategorized.</w:t>
            </w: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FF4D6"/>
            <w:tcBorders>
              <w:top w:val="single" w:sz="8" w:color="A66A00"/>
              <w:left w:val="single" w:sz="8" w:color="A66A00"/>
              <w:bottom w:val="single" w:sz="8" w:color="A66A00"/>
              <w:right w:val="single" w:sz="8" w:color="A66A00"/>
            </w:tcBorders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b/>
                <w:color w:val="A66A00"/>
              </w:rPr>
              <w:t xml:space="preserve">QUALITY CHECK  </w:t>
            </w:r>
            <w:r>
              <w:t>Do not categorize a code until its owner, purpose, destination, language, and active dates are known.</w:t>
            </w:r>
          </w:p>
        </w:tc>
      </w:tr>
    </w:tbl>
    <w:p>
      <w:pPr>
        <w:spacing w:after="0"/>
      </w:pPr>
    </w:p>
    <w:p>
      <w:pPr>
        <w:pStyle w:val="Heading1"/>
      </w:pPr>
      <w:r>
        <w:rPr>
          <w:color w:val="6C5CE7"/>
        </w:rPr>
        <w:t xml:space="preserve">04  </w:t>
      </w:r>
      <w:r>
        <w:t>Organize with campaigns</w:t>
      </w:r>
    </w:p>
    <w:p>
      <w:pPr>
        <w:pStyle w:val="ListBullet"/>
      </w:pPr>
      <w:r>
        <w:t>Select Campaigns when the QR belongs to a coordinated initiative.</w:t>
      </w:r>
    </w:p>
    <w:p>
      <w:pPr>
        <w:pStyle w:val="ListBullet"/>
      </w:pPr>
      <w:r>
        <w:t>Use a clear campaign name and date range.</w:t>
      </w:r>
    </w:p>
    <w:p>
      <w:pPr>
        <w:pStyle w:val="ListBullet"/>
      </w:pPr>
      <w:r>
        <w:t>Keep related Sales, Marketing, and Promotion codes aligned to the same campaign when they support one initiative.</w:t>
      </w:r>
    </w:p>
    <w:p>
      <w:pPr>
        <w:pStyle w:val="ListBullet"/>
      </w:pPr>
      <w:r>
        <w:t>Record the campaign owner and performance goal.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8F6F1"/>
            <w:tcBorders>
              <w:top w:val="single" w:sz="8" w:color="147D64"/>
              <w:left w:val="single" w:sz="8" w:color="147D64"/>
              <w:bottom w:val="single" w:sz="8" w:color="147D64"/>
              <w:right w:val="single" w:sz="8" w:color="147D64"/>
            </w:tcBorders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b/>
                <w:color w:val="147D64"/>
              </w:rPr>
              <w:t xml:space="preserve">EXPECTED RESULT  </w:t>
            </w:r>
            <w:r>
              <w:t>QR performance can be reviewed in the context of the initiative it supports.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rPr>
          <w:color w:val="6C5CE7"/>
        </w:rPr>
        <w:t xml:space="preserve">05  </w:t>
      </w:r>
      <w:r>
        <w:t>Monitor and maintain the section</w:t>
      </w:r>
    </w:p>
    <w:p>
      <w:pPr>
        <w:pStyle w:val="ListBullet"/>
      </w:pPr>
      <w:r>
        <w:t>Review In Sales / In Marketing / In Promotion and the active count.</w:t>
      </w:r>
    </w:p>
    <w:p>
      <w:pPr>
        <w:pStyle w:val="ListBullet"/>
      </w:pPr>
      <w:r>
        <w:t>Review Scans across the section.</w:t>
      </w:r>
    </w:p>
    <w:p>
      <w:pPr>
        <w:pStyle w:val="ListBullet"/>
      </w:pPr>
      <w:r>
        <w:t>Search for the specific code and confirm its status, owner, destination, campaign, and dates.</w:t>
      </w:r>
    </w:p>
    <w:p>
      <w:pPr>
        <w:pStyle w:val="ListBullet"/>
      </w:pPr>
      <w:r>
        <w:t>Use All codes library when you need the broader cross-section library.</w:t>
      </w:r>
    </w:p>
    <w:p>
      <w:pPr>
        <w:pStyle w:val="ListBullet"/>
      </w:pPr>
      <w:r>
        <w:t>Test codes after destination changes and before campaign launches.</w:t>
      </w:r>
    </w:p>
    <w:p>
      <w:pPr>
        <w:pStyle w:val="ListBullet"/>
      </w:pPr>
      <w:r>
        <w:t>Archive or retire expired promotions and obsolete sales/marketing assets according to approval rules.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8F6F1"/>
            <w:tcBorders>
              <w:top w:val="single" w:sz="8" w:color="147D64"/>
              <w:left w:val="single" w:sz="8" w:color="147D64"/>
              <w:bottom w:val="single" w:sz="8" w:color="147D64"/>
              <w:right w:val="single" w:sz="8" w:color="147D64"/>
            </w:tcBorders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b/>
                <w:color w:val="147D64"/>
              </w:rPr>
              <w:t xml:space="preserve">EXPECTED RESULT  </w:t>
            </w:r>
            <w:r>
              <w:t>The section contains current, correctly categorized codes and reliable performance data.</w:t>
            </w:r>
          </w:p>
        </w:tc>
      </w:tr>
    </w:tbl>
    <w:p>
      <w:pPr>
        <w:spacing w:after="0"/>
      </w:pPr>
    </w:p>
    <w:p>
      <w:pPr>
        <w:pStyle w:val="Heading2"/>
      </w:pPr>
      <w:r>
        <w:t>Measurement guide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160"/>
        <w:gridCol w:w="3600"/>
        <w:gridCol w:w="3600"/>
      </w:tblGrid>
      <w:tr>
        <w:tc>
          <w:tcPr>
            <w:tcW w:type="dxa" w:w="3120"/>
            <w:shd w:fill="17213A"/>
            <w:tcBorders>
              <w:top w:val="single" w:sz="8" w:color="17213A"/>
              <w:left w:val="single" w:sz="8" w:color="17213A"/>
              <w:bottom w:val="single" w:sz="8" w:color="17213A"/>
              <w:right w:val="single" w:sz="8" w:color="17213A"/>
            </w:tcBorders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b/>
                <w:color w:val="FFFFFF"/>
              </w:rPr>
              <w:t>Section</w:t>
            </w:r>
          </w:p>
        </w:tc>
        <w:tc>
          <w:tcPr>
            <w:tcW w:type="dxa" w:w="3120"/>
            <w:shd w:fill="17213A"/>
            <w:tcBorders>
              <w:top w:val="single" w:sz="8" w:color="17213A"/>
              <w:left w:val="single" w:sz="8" w:color="17213A"/>
              <w:bottom w:val="single" w:sz="8" w:color="17213A"/>
              <w:right w:val="single" w:sz="8" w:color="17213A"/>
            </w:tcBorders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b/>
                <w:color w:val="FFFFFF"/>
              </w:rPr>
              <w:t>Primary measure</w:t>
            </w:r>
          </w:p>
        </w:tc>
        <w:tc>
          <w:tcPr>
            <w:tcW w:type="dxa" w:w="3120"/>
            <w:shd w:fill="17213A"/>
            <w:tcBorders>
              <w:top w:val="single" w:sz="8" w:color="17213A"/>
              <w:left w:val="single" w:sz="8" w:color="17213A"/>
              <w:bottom w:val="single" w:sz="8" w:color="17213A"/>
              <w:right w:val="single" w:sz="8" w:color="17213A"/>
            </w:tcBorders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b/>
                <w:color w:val="FFFFFF"/>
              </w:rPr>
              <w:t>Review questions</w:t>
            </w:r>
          </w:p>
        </w:tc>
      </w:tr>
      <w:tr>
        <w:trPr>
          <w:cantSplit/>
        </w:trPr>
        <w:tc>
          <w:tcPr>
            <w:tcW w:type="dxa" w:w="2160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Sales</w:t>
            </w:r>
          </w:p>
        </w:tc>
        <w:tc>
          <w:tcPr>
            <w:tcW w:type="dxa" w:w="3600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Qualified scans, bookings, demos, follow-ups.</w:t>
            </w:r>
          </w:p>
        </w:tc>
        <w:tc>
          <w:tcPr>
            <w:tcW w:type="dxa" w:w="3600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Is the QR helping move a prospect to the next step?</w:t>
            </w:r>
          </w:p>
        </w:tc>
      </w:tr>
      <w:tr>
        <w:trPr>
          <w:cantSplit/>
        </w:trPr>
        <w:tc>
          <w:tcPr>
            <w:tcW w:type="dxa" w:w="2160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Marketing</w:t>
            </w:r>
          </w:p>
        </w:tc>
        <w:tc>
          <w:tcPr>
            <w:tcW w:type="dxa" w:w="3600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Reach, unique scans, form fills, content engagement.</w:t>
            </w:r>
          </w:p>
        </w:tc>
        <w:tc>
          <w:tcPr>
            <w:tcW w:type="dxa" w:w="3600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Is the QR reaching the intended audience and driving engagement?</w:t>
            </w:r>
          </w:p>
        </w:tc>
      </w:tr>
      <w:tr>
        <w:trPr>
          <w:cantSplit/>
        </w:trPr>
        <w:tc>
          <w:tcPr>
            <w:tcW w:type="dxa" w:w="2160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Promotion</w:t>
            </w:r>
          </w:p>
        </w:tc>
        <w:tc>
          <w:tcPr>
            <w:tcW w:type="dxa" w:w="3600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Redemptions, conversions, scan volume during offer period.</w:t>
            </w:r>
          </w:p>
        </w:tc>
        <w:tc>
          <w:tcPr>
            <w:tcW w:type="dxa" w:w="3600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Did the offer perform during its approved dates and is it now retired?</w:t>
            </w:r>
          </w:p>
        </w:tc>
      </w:tr>
    </w:tbl>
    <w:p>
      <w:pPr>
        <w:pStyle w:val="Heading1"/>
      </w:pPr>
      <w:r>
        <w:t>Final verification checklist</w:t>
      </w:r>
    </w:p>
    <w:p>
      <w:pPr>
        <w:pStyle w:val="ListBullet"/>
      </w:pPr>
      <w:r>
        <w:t>Primary business purpose was confirmed.</w:t>
      </w:r>
    </w:p>
    <w:p>
      <w:pPr>
        <w:pStyle w:val="ListBullet"/>
      </w:pPr>
      <w:r>
        <w:t>Correct Sales, Marketing, or Promotion section was selected.</w:t>
      </w:r>
    </w:p>
    <w:p>
      <w:pPr>
        <w:pStyle w:val="ListBullet"/>
      </w:pPr>
      <w:r>
        <w:t>Inventory labels were kept outside the Marketing Hub.</w:t>
      </w:r>
    </w:p>
    <w:p>
      <w:pPr>
        <w:pStyle w:val="ListBullet"/>
      </w:pPr>
      <w:r>
        <w:t>Destination, language, design, and branding were approved.</w:t>
      </w:r>
    </w:p>
    <w:p>
      <w:pPr>
        <w:pStyle w:val="ListBullet"/>
      </w:pPr>
      <w:r>
        <w:t>Real-device scan test passed.</w:t>
      </w:r>
    </w:p>
    <w:p>
      <w:pPr>
        <w:pStyle w:val="ListBullet"/>
      </w:pPr>
      <w:r>
        <w:t>Campaign and owner were recorded when applicable.</w:t>
      </w:r>
    </w:p>
    <w:p>
      <w:pPr>
        <w:pStyle w:val="ListBullet"/>
      </w:pPr>
      <w:r>
        <w:t>Uncategorized code was moved and verified, if applicable.</w:t>
      </w:r>
    </w:p>
    <w:p>
      <w:pPr>
        <w:pStyle w:val="ListBullet"/>
      </w:pPr>
      <w:r>
        <w:t>Success measure and review date were defined.</w:t>
      </w:r>
    </w:p>
    <w:p>
      <w:pPr>
        <w:pStyle w:val="ListBullet"/>
      </w:pPr>
      <w:r>
        <w:t>Promotion expiration and retirement plan were recorded.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8F6F1"/>
            <w:tcBorders>
              <w:top w:val="single" w:sz="8" w:color="147D64"/>
              <w:left w:val="single" w:sz="8" w:color="147D64"/>
              <w:bottom w:val="single" w:sz="8" w:color="147D64"/>
              <w:right w:val="single" w:sz="8" w:color="147D64"/>
            </w:tcBorders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b/>
                <w:color w:val="147D64"/>
              </w:rPr>
              <w:t xml:space="preserve">CONTROL POINT  </w:t>
            </w:r>
            <w:r>
              <w:t>Sales, Marketing, and Promotion QR codes should be created or assigned in the Marketing Hub so teams can find them, measure them, and maintain them by business purpose.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E6A7D"/>
        <w:sz w:val="18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Caption"/>
    </w:pPr>
    <w:r>
      <w:t>SCANOPS  |  STANDARD OPERATING PROCEDURE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/>
      <w:color w:val="1720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7213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6C5CE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/>
      <w:ind w:left="547" w:hanging="274"/>
      <w:contextualSpacing/>
    </w:pPr>
    <w:rPr>
      <w:rFonts w:ascii="Calibri" w:hAnsi="Calibri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/>
      <w:ind w:left="547" w:hanging="274"/>
      <w:contextualSpacing/>
    </w:pPr>
    <w:rPr>
      <w:rFonts w:ascii="Calibri" w:hAnsi="Calibri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Calibri" w:hAnsi="Calibri"/>
      <w:b/>
      <w:bCs/>
      <w:i/>
      <w:color w:val="5E6A7D"/>
      <w:sz w:val="17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Using QR Codes for Sales, Marketing and Promotions — SOP</dc:title>
  <dc:subject>Marketing Hub QR code operating procedure</dc:subject>
  <dc:creator>ScanOps Operations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