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6E5AE6"/>
        </w:rPr>
        <w:t>STANDARD OPERATING PROCEDURE</w:t>
      </w:r>
    </w:p>
    <w:p>
      <w:pPr>
        <w:pStyle w:val="Title"/>
      </w:pPr>
      <w:r>
        <w:t>Submit a Support Ticket</w:t>
      </w:r>
    </w:p>
    <w:p>
      <w:r>
        <w:t>How to send a clear, secure, and actionable support, billing, or feature request through ScanOps.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8E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PURPOSE</w:t>
            </w:r>
          </w:p>
          <w:p>
            <w:pPr>
              <w:spacing w:after="0"/>
            </w:pPr>
            <w:r>
              <w:t>Give the support team enough verified information to understand the request, reproduce the issue, assess impact, and respond without unnecessary back-and-forth.</w:t>
            </w:r>
          </w:p>
        </w:tc>
      </w:tr>
    </w:tbl>
    <w:p>
      <w:pPr>
        <w:pStyle w:val="Heading1"/>
      </w:pPr>
      <w:r>
        <w:t>Use this SOP for</w:t>
      </w:r>
    </w:p>
    <w:p>
      <w:pPr>
        <w:pStyle w:val="ListBullet"/>
      </w:pPr>
      <w:r>
        <w:t>System errors, unexpected behavior, or access problems</w:t>
      </w:r>
    </w:p>
    <w:p>
      <w:pPr>
        <w:pStyle w:val="ListBullet"/>
      </w:pPr>
      <w:r>
        <w:t>Billing or subscription questions</w:t>
      </w:r>
    </w:p>
    <w:p>
      <w:pPr>
        <w:pStyle w:val="ListBullet"/>
      </w:pPr>
      <w:r>
        <w:t>Feature requests or product feedback</w:t>
      </w:r>
    </w:p>
    <w:p>
      <w:pPr>
        <w:pStyle w:val="ListBullet"/>
      </w:pPr>
      <w:r>
        <w:t>Configuration questions that cannot be resolved through approved internal guidance</w:t>
      </w:r>
    </w:p>
    <w:p>
      <w:pPr>
        <w:pStyle w:val="Heading1"/>
      </w:pPr>
      <w:r>
        <w:t>Before submitting</w:t>
      </w:r>
    </w:p>
    <w:p>
      <w:pPr>
        <w:pStyle w:val="ListBullet"/>
      </w:pPr>
      <w:r>
        <w:t>Confirm the correct workspace and signed-in sender shown on the form.</w:t>
      </w:r>
    </w:p>
    <w:p>
      <w:pPr>
        <w:pStyle w:val="ListBullet"/>
      </w:pPr>
      <w:r>
        <w:t>Check whether the issue is already known internally or assigned to another ticket.</w:t>
      </w:r>
    </w:p>
    <w:p>
      <w:pPr>
        <w:pStyle w:val="ListBullet"/>
      </w:pPr>
      <w:r>
        <w:t>Retry only safe, reversible steps; do not repeatedly submit the same transaction.</w:t>
      </w:r>
    </w:p>
    <w:p>
      <w:pPr>
        <w:pStyle w:val="ListBullet"/>
      </w:pPr>
      <w:r>
        <w:t>Collect timestamps, affected records, exact error text, and reproduction steps.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EMERGENCY BOUNDARY</w:t>
            </w:r>
          </w:p>
          <w:p>
            <w:pPr>
              <w:spacing w:after="0"/>
            </w:pPr>
            <w:r>
              <w:t>Do not rely on a routine ticket for an immediate life-safety, physical-security, active data-exposure, or business-critical outage response. Follow the organization’s emergency escalation process as well.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TICKET READINESS</w:t>
      </w:r>
    </w:p>
    <w:p>
      <w:pPr>
        <w:pStyle w:val="Title"/>
      </w:pPr>
      <w:r>
        <w:t>1. Classify and prepare the request</w:t>
      </w:r>
    </w:p>
    <w:p>
      <w:pPr>
        <w:pStyle w:val="Heading1"/>
      </w:pPr>
      <w:r>
        <w:t>Choose the best category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6E5AE6"/>
          </w:tcPr>
          <w:p>
            <w:r>
              <w:rPr>
                <w:b/>
                <w:color w:val="FFFFFF"/>
              </w:rPr>
              <w:t>Category</w:t>
            </w:r>
          </w:p>
        </w:tc>
        <w:tc>
          <w:tcPr>
            <w:tcW w:type="dxa" w:w="3312"/>
            <w:shd w:fill="6E5AE6"/>
          </w:tcPr>
          <w:p>
            <w:r>
              <w:rPr>
                <w:b/>
                <w:color w:val="FFFFFF"/>
              </w:rPr>
              <w:t>Use when</w:t>
            </w:r>
          </w:p>
        </w:tc>
        <w:tc>
          <w:tcPr>
            <w:tcW w:type="dxa" w:w="3312"/>
            <w:shd w:fill="6E5AE6"/>
          </w:tcPr>
          <w:p>
            <w:r>
              <w:rPr>
                <w:b/>
                <w:color w:val="FFFFFF"/>
              </w:rPr>
              <w:t>Include</w:t>
            </w:r>
          </w:p>
        </w:tc>
      </w:tr>
      <w:tr>
        <w:tc>
          <w:tcPr>
            <w:tcW w:type="dxa" w:w="3312"/>
            <w:vAlign w:val="center"/>
            <w:shd w:fill="F7F8FC"/>
          </w:tcPr>
          <w:p>
            <w:r>
              <w:rPr>
                <w:b/>
              </w:rPr>
              <w:t>Support</w:t>
            </w:r>
          </w:p>
        </w:tc>
        <w:tc>
          <w:tcPr>
            <w:tcW w:type="dxa" w:w="3312"/>
            <w:vAlign w:val="center"/>
          </w:tcPr>
          <w:p>
            <w:r>
              <w:t>A feature is unavailable, incorrect, slow, or producing an error.</w:t>
            </w:r>
          </w:p>
        </w:tc>
        <w:tc>
          <w:tcPr>
            <w:tcW w:type="dxa" w:w="3312"/>
            <w:vAlign w:val="center"/>
          </w:tcPr>
          <w:p>
            <w:r>
              <w:t>Steps, result, time, scope, error text.</w:t>
            </w:r>
          </w:p>
        </w:tc>
      </w:tr>
      <w:tr>
        <w:tc>
          <w:tcPr>
            <w:tcW w:type="dxa" w:w="3312"/>
            <w:vAlign w:val="center"/>
            <w:shd w:fill="F7F8FC"/>
          </w:tcPr>
          <w:p>
            <w:r>
              <w:rPr>
                <w:b/>
              </w:rPr>
              <w:t>Billing</w:t>
            </w:r>
          </w:p>
        </w:tc>
        <w:tc>
          <w:tcPr>
            <w:tcW w:type="dxa" w:w="3312"/>
            <w:vAlign w:val="center"/>
          </w:tcPr>
          <w:p>
            <w:r>
              <w:t>Plan, invoice, charge, seat, or subscription question.</w:t>
            </w:r>
          </w:p>
        </w:tc>
        <w:tc>
          <w:tcPr>
            <w:tcW w:type="dxa" w:w="3312"/>
            <w:vAlign w:val="center"/>
          </w:tcPr>
          <w:p>
            <w:r>
              <w:t>Workspace, invoice/date, non-sensitive transaction reference.</w:t>
            </w:r>
          </w:p>
        </w:tc>
      </w:tr>
      <w:tr>
        <w:tc>
          <w:tcPr>
            <w:tcW w:type="dxa" w:w="3312"/>
            <w:vAlign w:val="center"/>
            <w:shd w:fill="F7F8FC"/>
          </w:tcPr>
          <w:p>
            <w:r>
              <w:rPr>
                <w:b/>
              </w:rPr>
              <w:t>Feature request</w:t>
            </w:r>
          </w:p>
        </w:tc>
        <w:tc>
          <w:tcPr>
            <w:tcW w:type="dxa" w:w="3312"/>
            <w:vAlign w:val="center"/>
          </w:tcPr>
          <w:p>
            <w:r>
              <w:t>A new capability or workflow improvement is proposed.</w:t>
            </w:r>
          </w:p>
        </w:tc>
        <w:tc>
          <w:tcPr>
            <w:tcW w:type="dxa" w:w="3312"/>
            <w:vAlign w:val="center"/>
          </w:tcPr>
          <w:p>
            <w:r>
              <w:t>Problem, users, frequency, desired outcome.</w:t>
            </w:r>
          </w:p>
        </w:tc>
      </w:tr>
      <w:tr>
        <w:tc>
          <w:tcPr>
            <w:tcW w:type="dxa" w:w="3312"/>
            <w:vAlign w:val="center"/>
            <w:shd w:fill="F7F8FC"/>
          </w:tcPr>
          <w:p>
            <w:r>
              <w:rPr>
                <w:b/>
              </w:rPr>
              <w:t>Other / closest option</w:t>
            </w:r>
          </w:p>
        </w:tc>
        <w:tc>
          <w:tcPr>
            <w:tcW w:type="dxa" w:w="3312"/>
            <w:vAlign w:val="center"/>
          </w:tcPr>
          <w:p>
            <w:r>
              <w:t>No listed category fits.</w:t>
            </w:r>
          </w:p>
        </w:tc>
        <w:tc>
          <w:tcPr>
            <w:tcW w:type="dxa" w:w="3312"/>
            <w:vAlign w:val="center"/>
          </w:tcPr>
          <w:p>
            <w:r>
              <w:t>Explain why and identify the affected area.</w:t>
            </w:r>
          </w:p>
        </w:tc>
      </w:tr>
    </w:tbl>
    <w:p>
      <w:pPr>
        <w:pStyle w:val="Heading1"/>
      </w:pPr>
      <w:r>
        <w:t>Assess impact</w:t>
      </w:r>
    </w:p>
    <w:p>
      <w:pPr>
        <w:pStyle w:val="ListBullet"/>
      </w:pPr>
      <w:r>
        <w:t>Who is affected: one user, a role, a site, or the full workspace.</w:t>
      </w:r>
    </w:p>
    <w:p>
      <w:pPr>
        <w:pStyle w:val="ListBullet"/>
      </w:pPr>
      <w:r>
        <w:t>What is blocked: view, scan, receive, pick, ship, report, billing, or administration.</w:t>
      </w:r>
    </w:p>
    <w:p>
      <w:pPr>
        <w:pStyle w:val="ListBullet"/>
      </w:pPr>
      <w:r>
        <w:t>When it began and whether it is continuous or intermittent.</w:t>
      </w:r>
    </w:p>
    <w:p>
      <w:pPr>
        <w:pStyle w:val="ListBullet"/>
      </w:pPr>
      <w:r>
        <w:t>Whether a safe workaround exists.</w:t>
      </w:r>
    </w:p>
    <w:p>
      <w:pPr>
        <w:pStyle w:val="ListBullet"/>
      </w:pPr>
      <w:r>
        <w:t>Whether data, inventory, money, or customer commitments may be wrong.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5F3F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ONE ISSUE PER TICKET</w:t>
            </w:r>
          </w:p>
          <w:p>
            <w:pPr>
              <w:spacing w:after="0"/>
            </w:pPr>
            <w:r>
              <w:t>Create one ticket for one primary problem. Separate unrelated defects or requests so ownership, priority, and resolution remain clear.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FORM PROCEDURE</w:t>
      </w:r>
    </w:p>
    <w:p>
      <w:pPr>
        <w:pStyle w:val="Title"/>
      </w:pPr>
      <w:r>
        <w:t>2. Complete and submit the ticket</w:t>
      </w:r>
    </w:p>
    <w:p>
      <w:pPr>
        <w:pStyle w:val="ListNumber"/>
      </w:pPr>
      <w:r>
        <w:t>Open Settings → Submit a request.</w:t>
      </w:r>
    </w:p>
    <w:p>
      <w:pPr>
        <w:pStyle w:val="ListNumber"/>
      </w:pPr>
      <w:r>
        <w:t>Verify the “Sending as” workspace, account, and platform identity.</w:t>
      </w:r>
    </w:p>
    <w:p>
      <w:pPr>
        <w:pStyle w:val="ListNumber"/>
      </w:pPr>
      <w:r>
        <w:t>Choose the closest Category.</w:t>
      </w:r>
    </w:p>
    <w:p>
      <w:pPr>
        <w:pStyle w:val="ListNumber"/>
      </w:pPr>
      <w:r>
        <w:t>Write a concise Subject using Area – Issue – Impact (example: Receiving – LPN not generated – dock blocked).</w:t>
      </w:r>
    </w:p>
    <w:p>
      <w:pPr>
        <w:pStyle w:val="ListNumber"/>
      </w:pPr>
      <w:r>
        <w:t>In Message, state the expected result and actual result.</w:t>
      </w:r>
    </w:p>
    <w:p>
      <w:pPr>
        <w:pStyle w:val="ListNumber"/>
      </w:pPr>
      <w:r>
        <w:t>List numbered reproduction steps and the last successful step.</w:t>
      </w:r>
    </w:p>
    <w:p>
      <w:pPr>
        <w:pStyle w:val="ListNumber"/>
      </w:pPr>
      <w:r>
        <w:t>Include date/time with timezone, affected workspace/site, user role, record IDs, QR/LPN/SKU/PO references, browser/device, and exact error text when relevant.</w:t>
      </w:r>
    </w:p>
    <w:p>
      <w:pPr>
        <w:pStyle w:val="ListNumber"/>
      </w:pPr>
      <w:r>
        <w:t>Describe business impact, urgency, affected users, and any safe workaround.</w:t>
      </w:r>
    </w:p>
    <w:p>
      <w:pPr>
        <w:pStyle w:val="ListNumber"/>
      </w:pPr>
      <w:r>
        <w:t>Review for accuracy, duplicates, and sensitive information.</w:t>
      </w:r>
    </w:p>
    <w:p>
      <w:pPr>
        <w:pStyle w:val="ListNumber"/>
      </w:pPr>
      <w:r>
        <w:t>Select Submit request once and wait for confirmation.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285683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e43f42-c067-464f-8797-a946b6d5fbc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8568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7085"/>
          <w:sz w:val="16"/>
        </w:rPr>
        <w:t>Settings → Submit a request: category, subject, message, and sender identity.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5F3F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GOOD SUBJECT</w:t>
            </w:r>
          </w:p>
          <w:p>
            <w:pPr>
              <w:spacing w:after="0"/>
            </w:pPr>
            <w:r>
              <w:t>Use a specific, searchable subject. Avoid “Help,” “Urgent,” “Broken,” or “Issue” without the affected area and impact.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MESSAGE STANDARD</w:t>
      </w:r>
    </w:p>
    <w:p>
      <w:pPr>
        <w:pStyle w:val="Title"/>
      </w:pPr>
      <w:r>
        <w:t>3. Write an actionable message</w:t>
      </w:r>
    </w:p>
    <w:p>
      <w:pPr>
        <w:pStyle w:val="Heading1"/>
      </w:pPr>
      <w:r>
        <w:t>Recommended structure</w:t>
      </w:r>
    </w:p>
    <w:p>
      <w:pPr>
        <w:pStyle w:val="ListBullet"/>
      </w:pPr>
      <w:r>
        <w:t>Summary: one sentence describing the problem or request.</w:t>
      </w:r>
    </w:p>
    <w:p>
      <w:pPr>
        <w:pStyle w:val="ListBullet"/>
      </w:pPr>
      <w:r>
        <w:t>Impact: users/sites affected, work blocked, and deadline.</w:t>
      </w:r>
    </w:p>
    <w:p>
      <w:pPr>
        <w:pStyle w:val="ListBullet"/>
      </w:pPr>
      <w:r>
        <w:t>Expected: what should have happened.</w:t>
      </w:r>
    </w:p>
    <w:p>
      <w:pPr>
        <w:pStyle w:val="ListBullet"/>
      </w:pPr>
      <w:r>
        <w:t>Actual: what happened, including exact error text.</w:t>
      </w:r>
    </w:p>
    <w:p>
      <w:pPr>
        <w:pStyle w:val="ListBullet"/>
      </w:pPr>
      <w:r>
        <w:t>Steps: numbered actions that reproduce the issue.</w:t>
      </w:r>
    </w:p>
    <w:p>
      <w:pPr>
        <w:pStyle w:val="ListBullet"/>
      </w:pPr>
      <w:r>
        <w:t>Environment: workspace, module/page, role, device/browser, and network context.</w:t>
      </w:r>
    </w:p>
    <w:p>
      <w:pPr>
        <w:pStyle w:val="ListBullet"/>
      </w:pPr>
      <w:r>
        <w:t>References: non-sensitive IDs, timestamps/timezone, and related ticket number.</w:t>
      </w:r>
    </w:p>
    <w:p>
      <w:pPr>
        <w:pStyle w:val="ListBullet"/>
      </w:pPr>
      <w:r>
        <w:t>Workaround: what was tried and the result.</w:t>
      </w:r>
    </w:p>
    <w:p>
      <w:pPr>
        <w:pStyle w:val="ListBullet"/>
      </w:pPr>
      <w:r>
        <w:t>Contact: best responder and availability when coordination is needed.</w:t>
      </w:r>
    </w:p>
    <w:p>
      <w:pPr>
        <w:pStyle w:val="Heading1"/>
      </w:pPr>
      <w:r>
        <w:t>Example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5F3F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SAMPLE TICKET</w:t>
            </w:r>
          </w:p>
          <w:p>
            <w:pPr>
              <w:spacing w:after="0"/>
            </w:pPr>
            <w:r>
              <w:t>Summary: Putaway does not complete after scanning a valid LPN and location. Impact: two receiving users at Main Warehouse; 14 pallets are waiting. Expected: location quantity updates and confirmation appears. Actual: button remains active with no confirmation. Steps: 1) Open Put Away; 2) scan LPN SOP-…; 3) scan location A-01-01; 4) select Confirm. Time: 9:42 AM ET. Workaround: none; stock isolated in receiving.</w:t>
            </w:r>
          </w:p>
        </w:tc>
      </w:tr>
    </w:tbl>
    <w:p>
      <w:pPr>
        <w:pStyle w:val="Heading1"/>
      </w:pPr>
      <w:r>
        <w:t>Evidence</w:t>
      </w:r>
    </w:p>
    <w:p>
      <w:pPr>
        <w:pStyle w:val="ListBullet"/>
      </w:pPr>
      <w:r>
        <w:t>Include screenshots only when they show the relevant page, error, timestamp, or status.</w:t>
      </w:r>
    </w:p>
    <w:p>
      <w:pPr>
        <w:pStyle w:val="ListBullet"/>
      </w:pPr>
      <w:r>
        <w:t>Crop unrelated browser tabs, desktop content, personal information, and confidential records.</w:t>
      </w:r>
    </w:p>
    <w:p>
      <w:pPr>
        <w:pStyle w:val="ListBullet"/>
      </w:pPr>
      <w:r>
        <w:t>Never alter evidence in a way that changes its meaning.</w:t>
      </w:r>
    </w:p>
    <w:p>
      <w:r>
        <w:br w:type="page"/>
      </w:r>
    </w:p>
    <w:p>
      <w:r>
        <w:rPr>
          <w:b/>
          <w:color w:val="6E5AE6"/>
          <w:sz w:val="18"/>
        </w:rPr>
        <w:t>SECURITY AND PRIVACY</w:t>
      </w:r>
    </w:p>
    <w:p>
      <w:pPr>
        <w:pStyle w:val="Title"/>
      </w:pPr>
      <w:r>
        <w:t>4. Protect sensitive information</w:t>
      </w:r>
    </w:p>
    <w:p>
      <w:pPr>
        <w:pStyle w:val="Heading1"/>
      </w:pPr>
      <w:r>
        <w:t>Never include</w:t>
      </w:r>
    </w:p>
    <w:p>
      <w:pPr>
        <w:pStyle w:val="ListBullet"/>
      </w:pPr>
      <w:r>
        <w:t>Passwords, temporary passwords, Floor PINs, authentication codes, API keys, tokens, private keys, or recovery codes.</w:t>
      </w:r>
    </w:p>
    <w:p>
      <w:pPr>
        <w:pStyle w:val="ListBullet"/>
      </w:pPr>
      <w:r>
        <w:t>Full payment-card, bank-account, government-ID, health, or other regulated personal data.</w:t>
      </w:r>
    </w:p>
    <w:p>
      <w:pPr>
        <w:pStyle w:val="ListBullet"/>
      </w:pPr>
      <w:r>
        <w:t>Unredacted customer lists, confidential contracts, or unrelated employee information.</w:t>
      </w:r>
    </w:p>
    <w:p>
      <w:pPr>
        <w:pStyle w:val="ListBullet"/>
      </w:pPr>
      <w:r>
        <w:t>DNS credentials or carrier/integration secrets.</w:t>
      </w:r>
    </w:p>
    <w:p>
      <w:pPr>
        <w:pStyle w:val="Heading1"/>
      </w:pPr>
      <w:r>
        <w:t>Use safer references</w:t>
      </w:r>
    </w:p>
    <w:p>
      <w:pPr>
        <w:pStyle w:val="ListBullet"/>
      </w:pPr>
      <w:r>
        <w:t>Use the last four digits or approved transaction/reference ID instead of full financial details.</w:t>
      </w:r>
    </w:p>
    <w:p>
      <w:pPr>
        <w:pStyle w:val="ListBullet"/>
      </w:pPr>
      <w:r>
        <w:t>Use system record IDs rather than copying full personal records.</w:t>
      </w:r>
    </w:p>
    <w:p>
      <w:pPr>
        <w:pStyle w:val="ListBullet"/>
      </w:pPr>
      <w:r>
        <w:t>Describe the secret type and where it is configured—never paste the secret value.</w:t>
      </w:r>
    </w:p>
    <w:p>
      <w:pPr>
        <w:pStyle w:val="ListBullet"/>
      </w:pPr>
      <w:r>
        <w:t>Redact screenshots while preserving the error, page, and relevant identifier.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0F0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SUSPECTED EXPOSURE</w:t>
            </w:r>
          </w:p>
          <w:p>
            <w:pPr>
              <w:spacing w:after="0"/>
            </w:pPr>
            <w:r>
              <w:t>If a secret or sensitive record was accidentally included, immediately follow the security incident process, rotate the exposed credential where applicable, and notify the authorized security owner. Do not merely submit a second ticket asking to ignore it.</w:t>
            </w:r>
          </w:p>
        </w:tc>
      </w:tr>
    </w:tbl>
    <w:p>
      <w:r>
        <w:br w:type="page"/>
      </w:r>
    </w:p>
    <w:p>
      <w:r>
        <w:rPr>
          <w:b/>
          <w:color w:val="6E5AE6"/>
          <w:sz w:val="18"/>
        </w:rPr>
        <w:t>TICKET LIFECYCLE</w:t>
      </w:r>
    </w:p>
    <w:p>
      <w:pPr>
        <w:pStyle w:val="Title"/>
      </w:pPr>
      <w:r>
        <w:t>5. Confirm, track, and close</w:t>
      </w:r>
    </w:p>
    <w:p>
      <w:pPr>
        <w:pStyle w:val="Heading1"/>
      </w:pPr>
      <w:r>
        <w:t>After submission</w:t>
      </w:r>
    </w:p>
    <w:p>
      <w:pPr>
        <w:pStyle w:val="ListNumber"/>
      </w:pPr>
      <w:r>
        <w:t>Capture the ticket/reference number and submission time.</w:t>
      </w:r>
    </w:p>
    <w:p>
      <w:pPr>
        <w:pStyle w:val="ListNumber"/>
      </w:pPr>
      <w:r>
        <w:t>Record the ticket in the team’s issue log with owner, category, impact, and status.</w:t>
      </w:r>
    </w:p>
    <w:p>
      <w:pPr>
        <w:pStyle w:val="ListNumber"/>
      </w:pPr>
      <w:r>
        <w:t>Do not submit duplicates. Add new evidence to the existing ticket or reference it in follow-up.</w:t>
      </w:r>
    </w:p>
    <w:p>
      <w:pPr>
        <w:pStyle w:val="ListNumber"/>
      </w:pPr>
      <w:r>
        <w:t>Respond promptly to support questions and retest only the requested or approved steps.</w:t>
      </w:r>
    </w:p>
    <w:p>
      <w:pPr>
        <w:pStyle w:val="ListNumber"/>
      </w:pPr>
      <w:r>
        <w:t>If business impact changes, update the ticket with new facts rather than changing urgency without evidence.</w:t>
      </w:r>
    </w:p>
    <w:p>
      <w:pPr>
        <w:pStyle w:val="Heading1"/>
      </w:pPr>
      <w:r>
        <w:t>Escalation</w:t>
      </w:r>
    </w:p>
    <w:p>
      <w:pPr>
        <w:pStyle w:val="ListBullet"/>
      </w:pPr>
      <w:r>
        <w:t>Escalate through the organization’s approved path when impact becomes critical, the safe workaround fails, or a committed deadline is at risk.</w:t>
      </w:r>
    </w:p>
    <w:p>
      <w:pPr>
        <w:pStyle w:val="ListBullet"/>
      </w:pPr>
      <w:r>
        <w:t>Reference the existing ticket number, current impact, actions taken, and required decision.</w:t>
      </w:r>
    </w:p>
    <w:p>
      <w:pPr>
        <w:pStyle w:val="ListBullet"/>
      </w:pPr>
      <w:r>
        <w:t>Do not bypass access, security, or change controls to create a workaround.</w:t>
      </w:r>
    </w:p>
    <w:p>
      <w:pPr>
        <w:pStyle w:val="Heading1"/>
      </w:pPr>
      <w:r>
        <w:t>Closure</w:t>
      </w:r>
    </w:p>
    <w:p>
      <w:pPr>
        <w:pStyle w:val="ListNumber"/>
      </w:pPr>
      <w:r>
        <w:t>Verify the resolution in the affected workspace and workflow.</w:t>
      </w:r>
    </w:p>
    <w:p>
      <w:pPr>
        <w:pStyle w:val="ListNumber"/>
      </w:pPr>
      <w:r>
        <w:t>Confirm data, balances, QR destinations, permissions, or billing results are correct.</w:t>
      </w:r>
    </w:p>
    <w:p>
      <w:pPr>
        <w:pStyle w:val="ListNumber"/>
      </w:pPr>
      <w:r>
        <w:t>Document the test performed and outcome.</w:t>
      </w:r>
    </w:p>
    <w:p>
      <w:pPr>
        <w:pStyle w:val="ListNumber"/>
      </w:pPr>
      <w:r>
        <w:t>Close the internal issue record and share any approved workaround or lesson learned.</w:t>
      </w:r>
    </w:p>
    <w:p>
      <w:r>
        <w:br w:type="page"/>
      </w:r>
    </w:p>
    <w:p>
      <w:r>
        <w:rPr>
          <w:b/>
          <w:color w:val="6E5AE6"/>
          <w:sz w:val="18"/>
        </w:rPr>
        <w:t>REFERENCE</w:t>
      </w:r>
    </w:p>
    <w:p>
      <w:pPr>
        <w:pStyle w:val="Title"/>
      </w:pPr>
      <w:r>
        <w:t>6. Final checklist &amp; troubleshooting</w:t>
      </w:r>
    </w:p>
    <w:p>
      <w:pPr>
        <w:pStyle w:val="Heading1"/>
      </w:pPr>
      <w:r>
        <w:t>Submission checklist</w:t>
      </w:r>
    </w:p>
    <w:p>
      <w:r>
        <w:t>☐ Correct workspace and sender verified</w:t>
      </w:r>
    </w:p>
    <w:p>
      <w:r>
        <w:t>☐ Best category selected</w:t>
      </w:r>
    </w:p>
    <w:p>
      <w:r>
        <w:t>☐ Specific subject written</w:t>
      </w:r>
    </w:p>
    <w:p>
      <w:r>
        <w:t>☐ Expected and actual results included</w:t>
      </w:r>
    </w:p>
    <w:p>
      <w:r>
        <w:t>☐ Reproduction steps included</w:t>
      </w:r>
    </w:p>
    <w:p>
      <w:r>
        <w:t>☐ Impact, time, timezone, and scope included</w:t>
      </w:r>
    </w:p>
    <w:p>
      <w:r>
        <w:t>☐ Relevant non-sensitive IDs included</w:t>
      </w:r>
    </w:p>
    <w:p>
      <w:r>
        <w:t>☐ Safe troubleshooting attempts documented</w:t>
      </w:r>
    </w:p>
    <w:p>
      <w:r>
        <w:t>☐ Secrets and regulated data excluded</w:t>
      </w:r>
    </w:p>
    <w:p>
      <w:r>
        <w:t>☐ Duplicate ticket check completed</w:t>
      </w:r>
    </w:p>
    <w:p>
      <w:r>
        <w:t>☐ Submission confirmation/reference recorded</w:t>
      </w:r>
    </w:p>
    <w:p>
      <w:pPr>
        <w:pStyle w:val="Heading1"/>
      </w:pPr>
      <w:r>
        <w:t>Common issues</w:t>
      </w:r>
    </w:p>
    <w:p>
      <w:pPr>
        <w:pStyle w:val="ListBullet"/>
      </w:pPr>
      <w:r>
        <w:t>Submit button does not respond: confirm required Subject and Message fields, preserve the text, refresh safely, and retry once.</w:t>
      </w:r>
    </w:p>
    <w:p>
      <w:pPr>
        <w:pStyle w:val="ListBullet"/>
      </w:pPr>
      <w:r>
        <w:t>Wrong category selected: reference the ticket and ask support to reclassify; do not duplicate it.</w:t>
      </w:r>
    </w:p>
    <w:p>
      <w:pPr>
        <w:pStyle w:val="ListBullet"/>
      </w:pPr>
      <w:r>
        <w:t>No confirmation received: verify the form status and sender email, then check the internal issue log before resubmitting.</w:t>
      </w:r>
    </w:p>
    <w:p>
      <w:pPr>
        <w:pStyle w:val="ListBullet"/>
      </w:pPr>
      <w:r>
        <w:t>Cannot reproduce: add timestamps, role, device/browser, record identifiers, and whether the issue is intermittent.</w:t>
      </w:r>
    </w:p>
    <w:p>
      <w:pPr>
        <w:pStyle w:val="ListBullet"/>
      </w:pPr>
      <w:r>
        <w:t>Support asks for a password or secret: do not send it; use the approved secure process and verify the requester.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8EF"/>
          </w:tcPr>
          <w:p>
            <w:r/>
          </w:p>
          <w:p>
            <w:pPr>
              <w:spacing w:after="20"/>
            </w:pPr>
            <w:r>
              <w:rPr>
                <w:b/>
                <w:color w:val="6E5AE6"/>
                <w:sz w:val="16"/>
              </w:rPr>
              <w:t>COMPLETION STANDARD</w:t>
            </w:r>
          </w:p>
          <w:p>
            <w:pPr>
              <w:spacing w:after="0"/>
            </w:pPr>
            <w:r>
              <w:t>A ticket is properly submitted when it is accurate, reproducible, securely written, assigned a reference, tracked internally, and verified through resolution or approved closure.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893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E5AE6"/>
        <w:sz w:val="16"/>
      </w:rPr>
      <w:t>SCANOPS  |  SUPPORT REQUESTS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b w:val="0"/>
      <w:color w:val="1D24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243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6E5AE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D243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60"/>
    </w:pPr>
    <w:rPr>
      <w:rFonts w:asciiTheme="majorHAnsi" w:eastAsiaTheme="majorEastAsia" w:hAnsiTheme="majorHAnsi" w:cstheme="majorBidi" w:ascii="Aptos Display" w:hAnsi="Aptos Display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 a Support Ticket SOP</dc:title>
  <dc:subject/>
  <dc:creator>MP Technology Consulting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